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885AB" w14:textId="1ACE1207" w:rsidR="00966400" w:rsidRPr="00841654" w:rsidRDefault="00966400" w:rsidP="00633B12">
      <w:pPr>
        <w:jc w:val="center"/>
        <w:rPr>
          <w:b/>
          <w:bCs/>
          <w:sz w:val="52"/>
          <w:szCs w:val="52"/>
        </w:rPr>
      </w:pPr>
      <w:r w:rsidRPr="00841654">
        <w:rPr>
          <w:b/>
          <w:bCs/>
          <w:sz w:val="52"/>
          <w:szCs w:val="52"/>
        </w:rPr>
        <w:t>Friedhofsordnung für den Naturfriedhof Rauchkogel</w:t>
      </w:r>
    </w:p>
    <w:p w14:paraId="7EECCF14" w14:textId="7605C4E8" w:rsidR="00966400" w:rsidRPr="00966400" w:rsidRDefault="00841654" w:rsidP="00841654">
      <w:pPr>
        <w:jc w:val="center"/>
      </w:pPr>
      <w:r>
        <w:t>F</w:t>
      </w:r>
      <w:r w:rsidR="00966400" w:rsidRPr="00966400">
        <w:t>riedhofsordnung gem. § 24 NÖ Bestattungsgesetz 2007</w:t>
      </w:r>
    </w:p>
    <w:p w14:paraId="5DD129ED" w14:textId="77777777" w:rsidR="00966400" w:rsidRPr="00966400" w:rsidRDefault="00966400" w:rsidP="00027A59">
      <w:pPr>
        <w:jc w:val="both"/>
        <w:rPr>
          <w:b/>
          <w:bCs/>
        </w:rPr>
      </w:pPr>
      <w:r w:rsidRPr="00966400">
        <w:rPr>
          <w:b/>
          <w:bCs/>
        </w:rPr>
        <w:t>Präambel</w:t>
      </w:r>
    </w:p>
    <w:p w14:paraId="3C424616" w14:textId="3B8EC0CE" w:rsidR="00966400" w:rsidRPr="00966400" w:rsidRDefault="00966400" w:rsidP="00027A59">
      <w:pPr>
        <w:jc w:val="both"/>
      </w:pPr>
      <w:r w:rsidRPr="00966400">
        <w:t xml:space="preserve">Der </w:t>
      </w:r>
      <w:r w:rsidRPr="00F25B96">
        <w:t>Naturfriedhof Rauchkogel</w:t>
      </w:r>
      <w:r w:rsidRPr="00966400">
        <w:t xml:space="preserve"> stellt Flächen zur Beisetzung von Urnen</w:t>
      </w:r>
      <w:r w:rsidR="00F4038A">
        <w:t xml:space="preserve"> </w:t>
      </w:r>
      <w:r w:rsidR="00D93A07">
        <w:t xml:space="preserve">am </w:t>
      </w:r>
      <w:r w:rsidR="00F4038A">
        <w:t>Rauch</w:t>
      </w:r>
      <w:r w:rsidR="00D93A07">
        <w:t>kogel in der Gemeinde Maria Enzersdorf</w:t>
      </w:r>
      <w:r w:rsidRPr="00966400">
        <w:t xml:space="preserve"> zur Verfügung</w:t>
      </w:r>
      <w:r w:rsidR="00D93A07">
        <w:t xml:space="preserve"> und</w:t>
      </w:r>
      <w:r w:rsidRPr="00966400">
        <w:t xml:space="preserve"> ist ein besonderer Ort der Ruhe, des Gedenkens und der </w:t>
      </w:r>
      <w:r w:rsidR="00937885">
        <w:t>Erinnerung</w:t>
      </w:r>
      <w:r w:rsidRPr="00966400">
        <w:t>.</w:t>
      </w:r>
    </w:p>
    <w:p w14:paraId="55877D6D" w14:textId="3E0E7A03" w:rsidR="00966400" w:rsidRPr="00966400" w:rsidRDefault="00966400" w:rsidP="00027A59">
      <w:pPr>
        <w:jc w:val="both"/>
      </w:pPr>
      <w:r w:rsidRPr="00966400">
        <w:t xml:space="preserve">Inmitten einer gepflegten </w:t>
      </w:r>
      <w:r w:rsidRPr="00F25B96">
        <w:t>Natur- und landwirtschaftlichen Kulturlandschaft</w:t>
      </w:r>
      <w:r w:rsidRPr="00966400">
        <w:t xml:space="preserve"> bietet der Rauchkogel einen naturnahen Rahmen für eine würdevolle letzte Ruhestätte. Die besondere Topografie und Vegetation ermöglichen eine stille, achtsame und </w:t>
      </w:r>
      <w:r w:rsidR="00936141">
        <w:t xml:space="preserve">mit </w:t>
      </w:r>
      <w:r w:rsidRPr="00966400">
        <w:t>der Natur verbundene Form des Abschieds.</w:t>
      </w:r>
    </w:p>
    <w:p w14:paraId="49E3AAB8" w14:textId="77777777" w:rsidR="00966400" w:rsidRPr="00966400" w:rsidRDefault="00966400" w:rsidP="00027A59">
      <w:pPr>
        <w:jc w:val="both"/>
      </w:pPr>
      <w:r w:rsidRPr="00966400">
        <w:t>Im Gegensatz zu konventionellen Friedhöfen orientiert sich der Naturfriedhof Rauchkogel an einem ökologisch verantwortungsvollen Umgang mit Fläche, Landschaft und den natürlichen Kreisläufen. Der Ort lädt dazu ein, im Einklang mit der Natur Abschied zu nehmen und Trost zu finden.</w:t>
      </w:r>
    </w:p>
    <w:p w14:paraId="3E1932CE" w14:textId="7F3D6C9C" w:rsidR="00966400" w:rsidRPr="00966400" w:rsidRDefault="00966400" w:rsidP="00027A59">
      <w:pPr>
        <w:jc w:val="both"/>
      </w:pPr>
      <w:r w:rsidRPr="00966400">
        <w:t>Dabei stehen die Würde der Verstorbenen, die Bedürfnisse der Hinterbliebenen sowie der Schutz des Natur</w:t>
      </w:r>
      <w:r w:rsidR="00D05F2E">
        <w:t>- und Kultur</w:t>
      </w:r>
      <w:r w:rsidRPr="00966400">
        <w:t>raumes im Vordergrund.</w:t>
      </w:r>
    </w:p>
    <w:p w14:paraId="1D573FE6" w14:textId="77777777" w:rsidR="00966400" w:rsidRPr="00966400" w:rsidRDefault="00966400" w:rsidP="00027A59">
      <w:pPr>
        <w:jc w:val="both"/>
        <w:rPr>
          <w:b/>
          <w:bCs/>
        </w:rPr>
      </w:pPr>
      <w:r w:rsidRPr="00966400">
        <w:rPr>
          <w:b/>
          <w:bCs/>
        </w:rPr>
        <w:t>I. Trägerschaft und Verwaltung</w:t>
      </w:r>
    </w:p>
    <w:p w14:paraId="373B28C8" w14:textId="3F248621" w:rsidR="00966400" w:rsidRPr="00966400" w:rsidRDefault="00966400" w:rsidP="00027A59">
      <w:pPr>
        <w:jc w:val="both"/>
      </w:pPr>
      <w:r w:rsidRPr="00966400">
        <w:t xml:space="preserve">Der Naturfriedhof Rauchkogel ist eine </w:t>
      </w:r>
      <w:r w:rsidR="00E07FD2">
        <w:t xml:space="preserve">per Bescheid vom Land Niederösterreich </w:t>
      </w:r>
      <w:r w:rsidRPr="00966400">
        <w:t xml:space="preserve">genehmigte Naturbestattungsanlage im Sinne von § </w:t>
      </w:r>
      <w:r w:rsidR="00841654">
        <w:t>2</w:t>
      </w:r>
      <w:r w:rsidRPr="00966400">
        <w:t>0 (1) NÖ Bestattungsgesetz 2007.</w:t>
      </w:r>
    </w:p>
    <w:p w14:paraId="73984C68" w14:textId="1CA86890" w:rsidR="00966400" w:rsidRPr="00FD1A75" w:rsidRDefault="00966400" w:rsidP="00027A59">
      <w:pPr>
        <w:jc w:val="both"/>
      </w:pPr>
      <w:r w:rsidRPr="00FD1A75">
        <w:t>Betreiber der Anlage ist:</w:t>
      </w:r>
    </w:p>
    <w:p w14:paraId="41EDF3CB" w14:textId="49465F86" w:rsidR="00966400" w:rsidRPr="000A598B" w:rsidRDefault="00966400" w:rsidP="00027A59">
      <w:pPr>
        <w:jc w:val="both"/>
      </w:pPr>
      <w:r w:rsidRPr="00FD1A75">
        <w:t xml:space="preserve">Schottenstift </w:t>
      </w:r>
      <w:r w:rsidR="008C568C" w:rsidRPr="00FD1A75">
        <w:t>Ben</w:t>
      </w:r>
      <w:r w:rsidR="000757FD" w:rsidRPr="00FD1A75">
        <w:t>e</w:t>
      </w:r>
      <w:r w:rsidR="008C568C" w:rsidRPr="00FD1A75">
        <w:t xml:space="preserve">diktinerabtei </w:t>
      </w:r>
      <w:r w:rsidR="000757FD" w:rsidRPr="00FD1A75">
        <w:t>„Unserer Lieben Frau zu den Schotten“</w:t>
      </w:r>
    </w:p>
    <w:p w14:paraId="2C57B925" w14:textId="77777777" w:rsidR="00966400" w:rsidRPr="00966400" w:rsidRDefault="00966400" w:rsidP="00027A59">
      <w:pPr>
        <w:jc w:val="both"/>
        <w:rPr>
          <w:b/>
          <w:bCs/>
        </w:rPr>
      </w:pPr>
      <w:r w:rsidRPr="00966400">
        <w:rPr>
          <w:b/>
          <w:bCs/>
        </w:rPr>
        <w:t>II. Verhalten auf dem Naturfriedhof</w:t>
      </w:r>
    </w:p>
    <w:p w14:paraId="3C669795" w14:textId="234EBF6A" w:rsidR="00966400" w:rsidRDefault="00966400" w:rsidP="00027A59">
      <w:pPr>
        <w:numPr>
          <w:ilvl w:val="0"/>
          <w:numId w:val="1"/>
        </w:numPr>
        <w:jc w:val="both"/>
      </w:pPr>
      <w:r w:rsidRPr="00966400">
        <w:t>Der Naturfriedhof ist ein Ort der Stille, der Besinnung und des würdevollen Erinnerns.</w:t>
      </w:r>
      <w:r w:rsidR="00040179">
        <w:t xml:space="preserve"> </w:t>
      </w:r>
      <w:r w:rsidRPr="00966400">
        <w:t>Alle Besucherinnen und Besucher sind verpflichtet, sich entsprechend zu verhalten.</w:t>
      </w:r>
    </w:p>
    <w:p w14:paraId="1FC0C9F5" w14:textId="77777777" w:rsidR="009121F6" w:rsidRPr="009121F6" w:rsidRDefault="009121F6" w:rsidP="009121F6">
      <w:pPr>
        <w:numPr>
          <w:ilvl w:val="0"/>
          <w:numId w:val="1"/>
        </w:numPr>
        <w:jc w:val="both"/>
      </w:pPr>
      <w:r w:rsidRPr="009121F6">
        <w:t>Nicht gestattet sind:</w:t>
      </w:r>
    </w:p>
    <w:p w14:paraId="4210850F" w14:textId="77777777" w:rsidR="009121F6" w:rsidRPr="00A34C97" w:rsidRDefault="009121F6" w:rsidP="00A34C97">
      <w:pPr>
        <w:pStyle w:val="Listenabsatz"/>
        <w:numPr>
          <w:ilvl w:val="0"/>
          <w:numId w:val="11"/>
        </w:numPr>
        <w:spacing w:after="0" w:line="240" w:lineRule="auto"/>
        <w:ind w:left="1134"/>
        <w:jc w:val="both"/>
        <w:rPr>
          <w:rFonts w:eastAsia="Times New Roman"/>
          <w:kern w:val="0"/>
          <w:lang w:eastAsia="de-DE"/>
        </w:rPr>
      </w:pPr>
      <w:r w:rsidRPr="00A34C97">
        <w:rPr>
          <w:rFonts w:eastAsia="Times New Roman"/>
          <w:kern w:val="0"/>
          <w:lang w:eastAsia="de-DE"/>
        </w:rPr>
        <w:t>Rauchen und Entzündung von Feuer;</w:t>
      </w:r>
    </w:p>
    <w:p w14:paraId="0ECD6E1D" w14:textId="77777777" w:rsidR="009121F6" w:rsidRPr="00A34C97" w:rsidRDefault="009121F6" w:rsidP="00A34C97">
      <w:pPr>
        <w:pStyle w:val="Listenabsatz"/>
        <w:numPr>
          <w:ilvl w:val="0"/>
          <w:numId w:val="11"/>
        </w:numPr>
        <w:spacing w:after="0" w:line="240" w:lineRule="auto"/>
        <w:ind w:left="1134"/>
        <w:jc w:val="both"/>
        <w:rPr>
          <w:rFonts w:eastAsia="Times New Roman"/>
          <w:kern w:val="0"/>
          <w:lang w:eastAsia="de-DE"/>
        </w:rPr>
      </w:pPr>
      <w:r w:rsidRPr="00A34C97">
        <w:rPr>
          <w:rFonts w:eastAsia="Times New Roman"/>
          <w:kern w:val="0"/>
          <w:lang w:eastAsia="de-DE"/>
        </w:rPr>
        <w:t>Lärmen und Musizieren (ausgenommen jene Musikstücke anlässlich einer Beisetzung);</w:t>
      </w:r>
    </w:p>
    <w:p w14:paraId="7A0603F5" w14:textId="77777777" w:rsidR="009121F6" w:rsidRPr="00A34C97" w:rsidRDefault="009121F6" w:rsidP="00A34C97">
      <w:pPr>
        <w:pStyle w:val="Listenabsatz"/>
        <w:numPr>
          <w:ilvl w:val="0"/>
          <w:numId w:val="11"/>
        </w:numPr>
        <w:spacing w:after="0" w:line="240" w:lineRule="auto"/>
        <w:ind w:left="1134"/>
        <w:jc w:val="both"/>
        <w:rPr>
          <w:rFonts w:eastAsia="Times New Roman"/>
          <w:kern w:val="0"/>
          <w:lang w:eastAsia="de-DE"/>
        </w:rPr>
      </w:pPr>
      <w:r w:rsidRPr="00A34C97">
        <w:rPr>
          <w:rFonts w:eastAsia="Times New Roman"/>
          <w:kern w:val="0"/>
          <w:lang w:eastAsia="de-DE"/>
        </w:rPr>
        <w:t>Ablagerung von Müll ausgenommen der hierfür vorgesehenen Plätze;</w:t>
      </w:r>
    </w:p>
    <w:p w14:paraId="53D2BB66" w14:textId="77777777" w:rsidR="009121F6" w:rsidRDefault="009121F6" w:rsidP="00A34C97">
      <w:pPr>
        <w:pStyle w:val="Listenabsatz"/>
        <w:numPr>
          <w:ilvl w:val="0"/>
          <w:numId w:val="11"/>
        </w:numPr>
        <w:spacing w:after="0" w:line="240" w:lineRule="auto"/>
        <w:ind w:left="1134"/>
        <w:jc w:val="both"/>
        <w:rPr>
          <w:rFonts w:eastAsia="Times New Roman"/>
          <w:kern w:val="0"/>
          <w:lang w:eastAsia="de-DE"/>
        </w:rPr>
      </w:pPr>
      <w:r w:rsidRPr="00A34C97">
        <w:rPr>
          <w:rFonts w:eastAsia="Times New Roman"/>
          <w:kern w:val="0"/>
          <w:lang w:eastAsia="de-DE"/>
        </w:rPr>
        <w:t>Lagern und campieren;</w:t>
      </w:r>
    </w:p>
    <w:p w14:paraId="3087169A" w14:textId="77777777" w:rsidR="008D7242" w:rsidRPr="008D7242" w:rsidRDefault="008D7242" w:rsidP="008D7242">
      <w:pPr>
        <w:pStyle w:val="Listenabsatz"/>
        <w:numPr>
          <w:ilvl w:val="0"/>
          <w:numId w:val="11"/>
        </w:numPr>
        <w:spacing w:after="0" w:line="240" w:lineRule="auto"/>
        <w:ind w:left="1134"/>
        <w:jc w:val="both"/>
        <w:rPr>
          <w:rFonts w:eastAsia="Times New Roman"/>
          <w:kern w:val="0"/>
          <w:lang w:eastAsia="de-DE"/>
        </w:rPr>
      </w:pPr>
      <w:r w:rsidRPr="00966400">
        <w:t>das Mitbringen alkoholischer Getränke oder das Feiern von Festen</w:t>
      </w:r>
      <w:r>
        <w:t>;</w:t>
      </w:r>
    </w:p>
    <w:p w14:paraId="1328D497" w14:textId="417C2528" w:rsidR="008D7242" w:rsidRPr="008D7242" w:rsidRDefault="008D7242" w:rsidP="008D7242">
      <w:pPr>
        <w:pStyle w:val="Listenabsatz"/>
        <w:numPr>
          <w:ilvl w:val="0"/>
          <w:numId w:val="11"/>
        </w:numPr>
        <w:spacing w:after="0" w:line="240" w:lineRule="auto"/>
        <w:ind w:left="1134"/>
        <w:jc w:val="both"/>
        <w:rPr>
          <w:rFonts w:eastAsia="Times New Roman"/>
          <w:kern w:val="0"/>
          <w:lang w:eastAsia="de-DE"/>
        </w:rPr>
      </w:pPr>
      <w:r w:rsidRPr="00966400">
        <w:lastRenderedPageBreak/>
        <w:t>das Verlassen der ausgewiesenen Wege</w:t>
      </w:r>
    </w:p>
    <w:p w14:paraId="39D2D15A" w14:textId="77777777" w:rsidR="009121F6" w:rsidRPr="003138C5" w:rsidRDefault="009121F6" w:rsidP="003138C5">
      <w:pPr>
        <w:numPr>
          <w:ilvl w:val="0"/>
          <w:numId w:val="1"/>
        </w:numPr>
        <w:jc w:val="both"/>
      </w:pPr>
      <w:r w:rsidRPr="003138C5">
        <w:t>Hunde müssen angeleint werden.</w:t>
      </w:r>
    </w:p>
    <w:p w14:paraId="49E7141B" w14:textId="1647912D" w:rsidR="00966400" w:rsidRPr="00966400" w:rsidRDefault="00966400" w:rsidP="003138C5">
      <w:pPr>
        <w:numPr>
          <w:ilvl w:val="0"/>
          <w:numId w:val="1"/>
        </w:numPr>
        <w:jc w:val="both"/>
      </w:pPr>
      <w:r w:rsidRPr="00966400">
        <w:t>Das Befahren des Geländes mit Fahrzeugen jeglicher Art (inkl. Fahrrädern, E-Scootern etc.) ist untersagt.</w:t>
      </w:r>
      <w:r w:rsidR="00C8560E">
        <w:t xml:space="preserve"> </w:t>
      </w:r>
      <w:r w:rsidRPr="00966400">
        <w:t>Ausnahmen können mit Zustimmung de</w:t>
      </w:r>
      <w:r w:rsidR="00AE6B8A">
        <w:t>s Betreibers</w:t>
      </w:r>
      <w:r w:rsidRPr="00966400">
        <w:t xml:space="preserve"> bei eingeschränkter Mobilität gewährt werden.</w:t>
      </w:r>
    </w:p>
    <w:p w14:paraId="33153BEE" w14:textId="57A2746C" w:rsidR="00966400" w:rsidRPr="00966400" w:rsidRDefault="00966400" w:rsidP="00027A59">
      <w:pPr>
        <w:jc w:val="both"/>
        <w:rPr>
          <w:b/>
          <w:bCs/>
        </w:rPr>
      </w:pPr>
      <w:r w:rsidRPr="00966400">
        <w:rPr>
          <w:b/>
          <w:bCs/>
        </w:rPr>
        <w:t>I</w:t>
      </w:r>
      <w:r w:rsidR="0015563A">
        <w:rPr>
          <w:b/>
          <w:bCs/>
        </w:rPr>
        <w:t>II</w:t>
      </w:r>
      <w:r w:rsidRPr="00966400">
        <w:rPr>
          <w:b/>
          <w:bCs/>
        </w:rPr>
        <w:t>. Grabstätten</w:t>
      </w:r>
      <w:r w:rsidR="0034073C">
        <w:rPr>
          <w:b/>
          <w:bCs/>
        </w:rPr>
        <w:t xml:space="preserve"> und </w:t>
      </w:r>
      <w:r w:rsidRPr="00966400">
        <w:rPr>
          <w:b/>
          <w:bCs/>
        </w:rPr>
        <w:t>Beisetzungen</w:t>
      </w:r>
    </w:p>
    <w:p w14:paraId="50A8F27A" w14:textId="529932E7" w:rsidR="00966400" w:rsidRPr="00966400" w:rsidRDefault="00966400" w:rsidP="003B6C74">
      <w:pPr>
        <w:numPr>
          <w:ilvl w:val="0"/>
          <w:numId w:val="4"/>
        </w:numPr>
        <w:jc w:val="both"/>
      </w:pPr>
      <w:r w:rsidRPr="00966400">
        <w:t>Die Gestaltung des Geländes und der Grabstellen liegt ausschließlich beim Betreiber</w:t>
      </w:r>
      <w:r w:rsidR="00D9115B">
        <w:t xml:space="preserve">. </w:t>
      </w:r>
      <w:r w:rsidRPr="00966400">
        <w:t>Eine individuelle Grabpflege durch Angehörige ist nicht vorgesehen.</w:t>
      </w:r>
    </w:p>
    <w:p w14:paraId="1E222850" w14:textId="26FED4DA" w:rsidR="003A1C4B" w:rsidRDefault="003A1C4B" w:rsidP="00027A59">
      <w:pPr>
        <w:numPr>
          <w:ilvl w:val="0"/>
          <w:numId w:val="4"/>
        </w:numPr>
        <w:jc w:val="both"/>
      </w:pPr>
      <w:r>
        <w:t xml:space="preserve">Für die </w:t>
      </w:r>
      <w:r w:rsidR="00876CB0">
        <w:t xml:space="preserve">Grabnutzung und </w:t>
      </w:r>
      <w:r w:rsidR="00125113">
        <w:t xml:space="preserve">Beisetzung muss ein entsprechender Vertrag mit </w:t>
      </w:r>
      <w:proofErr w:type="gramStart"/>
      <w:r w:rsidR="00125113">
        <w:t>dem</w:t>
      </w:r>
      <w:r w:rsidR="00876CB0">
        <w:t xml:space="preserve">  Betreiber</w:t>
      </w:r>
      <w:proofErr w:type="gramEnd"/>
      <w:r w:rsidR="00876CB0">
        <w:t xml:space="preserve"> abgeschlossen werden. </w:t>
      </w:r>
    </w:p>
    <w:p w14:paraId="7C6B0410" w14:textId="2939814D" w:rsidR="00966400" w:rsidRPr="00966400" w:rsidRDefault="00966400" w:rsidP="00027A59">
      <w:pPr>
        <w:numPr>
          <w:ilvl w:val="0"/>
          <w:numId w:val="4"/>
        </w:numPr>
        <w:jc w:val="both"/>
      </w:pPr>
      <w:r w:rsidRPr="00966400">
        <w:t>Die Beisetzung der Urne erfolgt ausschließlich in biologisch abbaubaren Urnen.</w:t>
      </w:r>
    </w:p>
    <w:p w14:paraId="3087E089" w14:textId="54CF4C89" w:rsidR="00966400" w:rsidRPr="00966400" w:rsidRDefault="00966400" w:rsidP="00027A59">
      <w:pPr>
        <w:numPr>
          <w:ilvl w:val="0"/>
          <w:numId w:val="4"/>
        </w:numPr>
        <w:jc w:val="both"/>
      </w:pPr>
      <w:r w:rsidRPr="00966400">
        <w:t>Die Urne wird an eine</w:t>
      </w:r>
      <w:r w:rsidR="00D9115B">
        <w:t>r</w:t>
      </w:r>
      <w:r w:rsidRPr="00966400">
        <w:t xml:space="preserve"> ausgewiesenen </w:t>
      </w:r>
      <w:r w:rsidR="00D9115B">
        <w:t>Weinrebe, Rosenstock</w:t>
      </w:r>
      <w:r w:rsidRPr="00966400">
        <w:t xml:space="preserve"> oder in einem festgelegten Bereich </w:t>
      </w:r>
      <w:r w:rsidR="00915193">
        <w:t>auf</w:t>
      </w:r>
      <w:r w:rsidRPr="00966400">
        <w:t xml:space="preserve"> der </w:t>
      </w:r>
      <w:r w:rsidR="00D9115B">
        <w:t>Wiese</w:t>
      </w:r>
      <w:r w:rsidRPr="00966400">
        <w:t xml:space="preserve"> beigesetzt.</w:t>
      </w:r>
      <w:r w:rsidR="00122AF1">
        <w:t xml:space="preserve"> </w:t>
      </w:r>
      <w:r w:rsidR="00FB13E5">
        <w:t>Es ist sicherzustellen</w:t>
      </w:r>
      <w:r w:rsidR="004E0EF7">
        <w:t>,</w:t>
      </w:r>
      <w:r w:rsidR="00FB13E5">
        <w:t xml:space="preserve"> dass pro 50</w:t>
      </w:r>
      <w:r w:rsidR="0076077C">
        <w:t xml:space="preserve"> </w:t>
      </w:r>
      <w:r w:rsidR="00FB13E5">
        <w:t>cm x 50</w:t>
      </w:r>
      <w:r w:rsidR="0076077C">
        <w:t xml:space="preserve"> </w:t>
      </w:r>
      <w:r w:rsidR="00FB13E5">
        <w:t xml:space="preserve">cm </w:t>
      </w:r>
      <w:r w:rsidR="0076077C">
        <w:t>nur eine Urne beigesetzt wird</w:t>
      </w:r>
      <w:r w:rsidR="003E131E">
        <w:t>.</w:t>
      </w:r>
    </w:p>
    <w:p w14:paraId="67BDB205" w14:textId="45335267" w:rsidR="00966400" w:rsidRDefault="00966400" w:rsidP="00027A59">
      <w:pPr>
        <w:numPr>
          <w:ilvl w:val="0"/>
          <w:numId w:val="4"/>
        </w:numPr>
        <w:jc w:val="both"/>
      </w:pPr>
      <w:r w:rsidRPr="00966400">
        <w:t xml:space="preserve">Es ist nicht erlaubt, </w:t>
      </w:r>
      <w:r w:rsidR="0042332A">
        <w:t xml:space="preserve">Denkmäler, </w:t>
      </w:r>
      <w:r w:rsidRPr="00966400">
        <w:t>Gedenksteine,</w:t>
      </w:r>
      <w:r w:rsidR="0042332A">
        <w:t xml:space="preserve"> Figuren,</w:t>
      </w:r>
      <w:r w:rsidRPr="00966400">
        <w:t xml:space="preserve"> Kreuze, Blumen, </w:t>
      </w:r>
      <w:r w:rsidR="00344789">
        <w:t xml:space="preserve">Kränze, </w:t>
      </w:r>
      <w:r w:rsidRPr="00966400">
        <w:t>Kerzen oder persönliche Gegenstände an der Grabstelle zu hinterlassen.</w:t>
      </w:r>
      <w:r w:rsidR="006C72EA">
        <w:t xml:space="preserve"> </w:t>
      </w:r>
      <w:r w:rsidRPr="00966400">
        <w:t>Dies dient dem Schutz der Natur, der Tierwelt und der naturnahen Gesamtästhetik.</w:t>
      </w:r>
    </w:p>
    <w:p w14:paraId="7954A7C9" w14:textId="19387D46" w:rsidR="00793212" w:rsidRPr="00966400" w:rsidRDefault="00793212" w:rsidP="00027A59">
      <w:pPr>
        <w:numPr>
          <w:ilvl w:val="0"/>
          <w:numId w:val="4"/>
        </w:numPr>
        <w:jc w:val="both"/>
      </w:pPr>
      <w:r>
        <w:t xml:space="preserve">Das Anbringen von Schildern und Plaketten ist </w:t>
      </w:r>
      <w:proofErr w:type="gramStart"/>
      <w:r>
        <w:t>alleine</w:t>
      </w:r>
      <w:proofErr w:type="gramEnd"/>
      <w:r>
        <w:t xml:space="preserve"> dem </w:t>
      </w:r>
      <w:r w:rsidR="0044631D">
        <w:t>Betreiber</w:t>
      </w:r>
      <w:r>
        <w:t xml:space="preserve"> vorbehalten.</w:t>
      </w:r>
    </w:p>
    <w:p w14:paraId="47EFB31A" w14:textId="272AA43F" w:rsidR="00966400" w:rsidRPr="00966400" w:rsidRDefault="00966400" w:rsidP="00027A59">
      <w:pPr>
        <w:numPr>
          <w:ilvl w:val="0"/>
          <w:numId w:val="4"/>
        </w:numPr>
        <w:jc w:val="both"/>
      </w:pPr>
      <w:r w:rsidRPr="00966400">
        <w:t>Der genaue Ort der Beisetzung wird im Grabst</w:t>
      </w:r>
      <w:r w:rsidR="005E7B72">
        <w:t>ell</w:t>
      </w:r>
      <w:r w:rsidRPr="00966400">
        <w:t>enverzeichnis dokumentiert, das bei de</w:t>
      </w:r>
      <w:r w:rsidR="0044631D">
        <w:t>m Betreiber</w:t>
      </w:r>
      <w:r w:rsidRPr="00966400">
        <w:t xml:space="preserve"> einsehbar ist.</w:t>
      </w:r>
    </w:p>
    <w:p w14:paraId="67BAAAF4" w14:textId="1F910311" w:rsidR="00966400" w:rsidRPr="00966400" w:rsidRDefault="00966400" w:rsidP="00027A59">
      <w:pPr>
        <w:numPr>
          <w:ilvl w:val="0"/>
          <w:numId w:val="5"/>
        </w:numPr>
        <w:jc w:val="both"/>
      </w:pPr>
      <w:r w:rsidRPr="00966400">
        <w:t>Es gibt sowohl Einzelgrabstätten als auch Gemeinschafts</w:t>
      </w:r>
      <w:r w:rsidR="004F0440">
        <w:t>grabstellen</w:t>
      </w:r>
      <w:r w:rsidRPr="00966400">
        <w:t>. Die Vergabe erfolgt nach freier Auswahl und Verfügbarkeit.</w:t>
      </w:r>
    </w:p>
    <w:p w14:paraId="7F3D3B29" w14:textId="77777777" w:rsidR="00966400" w:rsidRDefault="00966400" w:rsidP="00027A59">
      <w:pPr>
        <w:numPr>
          <w:ilvl w:val="0"/>
          <w:numId w:val="5"/>
        </w:numPr>
        <w:jc w:val="both"/>
      </w:pPr>
      <w:r w:rsidRPr="00966400">
        <w:t>Die Mindestruhezeit beträgt 10 Jahre. Eine Verlängerung ist gemäß Vertrag möglich.</w:t>
      </w:r>
    </w:p>
    <w:p w14:paraId="13FF0C00" w14:textId="561D49FE" w:rsidR="00EA2CA4" w:rsidRPr="00CE0C85" w:rsidRDefault="00EA2CA4" w:rsidP="00EA2CA4">
      <w:pPr>
        <w:jc w:val="both"/>
        <w:rPr>
          <w:b/>
          <w:bCs/>
        </w:rPr>
      </w:pPr>
      <w:r w:rsidRPr="00CE0C85">
        <w:rPr>
          <w:b/>
          <w:bCs/>
        </w:rPr>
        <w:t>IV. Beisetzungen und Zeremonien</w:t>
      </w:r>
    </w:p>
    <w:p w14:paraId="512F39D4" w14:textId="77777777" w:rsidR="00CE0C85" w:rsidRDefault="00EA2CA4" w:rsidP="00075251">
      <w:pPr>
        <w:numPr>
          <w:ilvl w:val="0"/>
          <w:numId w:val="13"/>
        </w:numPr>
        <w:jc w:val="both"/>
      </w:pPr>
      <w:r w:rsidRPr="00966400">
        <w:t>Zeremonien im Rahmen von Beisetzungen sind sowohl in konfessioneller als auch in weltlicher Form zulässig.</w:t>
      </w:r>
      <w:r>
        <w:t xml:space="preserve"> </w:t>
      </w:r>
    </w:p>
    <w:p w14:paraId="0596EF1C" w14:textId="74EA0784" w:rsidR="00EA2CA4" w:rsidRPr="00966400" w:rsidRDefault="00EA2CA4" w:rsidP="00075251">
      <w:pPr>
        <w:numPr>
          <w:ilvl w:val="0"/>
          <w:numId w:val="13"/>
        </w:numPr>
        <w:jc w:val="both"/>
      </w:pPr>
      <w:r w:rsidRPr="00966400">
        <w:t>Die Gestaltung erfolgt im Einklang mit dem Charakter der Anlage, still, schlicht und naturnah.</w:t>
      </w:r>
    </w:p>
    <w:p w14:paraId="46B212BD" w14:textId="29EBD91C" w:rsidR="00EA2CA4" w:rsidRDefault="00075251" w:rsidP="00EA2CA4">
      <w:pPr>
        <w:numPr>
          <w:ilvl w:val="0"/>
          <w:numId w:val="13"/>
        </w:numPr>
        <w:jc w:val="both"/>
      </w:pPr>
      <w:r>
        <w:t xml:space="preserve">Anbieter wie </w:t>
      </w:r>
      <w:r w:rsidR="00EA2CA4" w:rsidRPr="00966400">
        <w:t>Bestatter</w:t>
      </w:r>
      <w:r w:rsidR="00EA2CA4">
        <w:t>, Trauerredner, etc.</w:t>
      </w:r>
      <w:r w:rsidR="00EA2CA4" w:rsidRPr="00966400">
        <w:t xml:space="preserve"> benötigen eine gesonderte Vereinbarung mit de</w:t>
      </w:r>
      <w:r w:rsidR="0044631D">
        <w:t>m Betrieber</w:t>
      </w:r>
      <w:r w:rsidR="00EA2CA4" w:rsidRPr="00966400">
        <w:t xml:space="preserve"> zur Ausübung ihrer Tätigkeit.</w:t>
      </w:r>
    </w:p>
    <w:p w14:paraId="48B7F8F9" w14:textId="57F4C0F1" w:rsidR="00E5280A" w:rsidRDefault="00E5280A" w:rsidP="00E5280A">
      <w:pPr>
        <w:numPr>
          <w:ilvl w:val="0"/>
          <w:numId w:val="13"/>
        </w:numPr>
        <w:jc w:val="both"/>
      </w:pPr>
      <w:r>
        <w:t>Totengedenkfeiern und andere</w:t>
      </w:r>
      <w:r w:rsidR="002F5326">
        <w:t xml:space="preserve"> - </w:t>
      </w:r>
      <w:r>
        <w:t>nicht mit der Beisetzung im Zusammenhang stehende</w:t>
      </w:r>
      <w:r w:rsidR="002F5326">
        <w:t xml:space="preserve"> –</w:t>
      </w:r>
      <w:r>
        <w:t xml:space="preserve"> </w:t>
      </w:r>
      <w:r w:rsidR="002F5326">
        <w:t xml:space="preserve">Veranstaltungen bedürfen der Zustimmung des </w:t>
      </w:r>
      <w:r w:rsidR="0044631D">
        <w:t>Betreibers</w:t>
      </w:r>
      <w:r w:rsidR="002F5326">
        <w:t xml:space="preserve">. </w:t>
      </w:r>
    </w:p>
    <w:p w14:paraId="08DC60E4" w14:textId="77777777" w:rsidR="00277C7C" w:rsidRDefault="00277C7C" w:rsidP="00277C7C">
      <w:pPr>
        <w:jc w:val="both"/>
      </w:pPr>
    </w:p>
    <w:p w14:paraId="37902CCB" w14:textId="77777777" w:rsidR="00277C7C" w:rsidRPr="00966400" w:rsidRDefault="00277C7C" w:rsidP="00277C7C">
      <w:pPr>
        <w:jc w:val="both"/>
      </w:pPr>
    </w:p>
    <w:p w14:paraId="6B615B2A" w14:textId="56B60A5E" w:rsidR="00966400" w:rsidRPr="00966400" w:rsidRDefault="0015563A" w:rsidP="00027A59">
      <w:pPr>
        <w:jc w:val="both"/>
        <w:rPr>
          <w:b/>
          <w:bCs/>
        </w:rPr>
      </w:pPr>
      <w:r>
        <w:rPr>
          <w:b/>
          <w:bCs/>
        </w:rPr>
        <w:lastRenderedPageBreak/>
        <w:t>I</w:t>
      </w:r>
      <w:r w:rsidR="00966400" w:rsidRPr="00966400">
        <w:rPr>
          <w:b/>
          <w:bCs/>
        </w:rPr>
        <w:t>V. Sicherheit und Haftung</w:t>
      </w:r>
    </w:p>
    <w:p w14:paraId="2EE0BB7E" w14:textId="1B7A3C4A" w:rsidR="004A5938" w:rsidRPr="004A5938" w:rsidRDefault="00966400" w:rsidP="006406BF">
      <w:pPr>
        <w:numPr>
          <w:ilvl w:val="0"/>
          <w:numId w:val="6"/>
        </w:numPr>
        <w:jc w:val="both"/>
      </w:pPr>
      <w:r w:rsidRPr="00966400">
        <w:t>Das Betreten des Naturfriedhofs erfolgt auf eigene Gefahr.</w:t>
      </w:r>
      <w:r w:rsidR="00A70153">
        <w:t xml:space="preserve"> </w:t>
      </w:r>
      <w:r w:rsidRPr="00966400">
        <w:t>Wege können durch Witterungseinflüsse (z.</w:t>
      </w:r>
      <w:r w:rsidRPr="00966400">
        <w:rPr>
          <w:rFonts w:ascii="Arial" w:hAnsi="Arial" w:cs="Arial"/>
        </w:rPr>
        <w:t> </w:t>
      </w:r>
      <w:r w:rsidRPr="00966400">
        <w:t>B. N</w:t>
      </w:r>
      <w:r w:rsidRPr="00966400">
        <w:rPr>
          <w:rFonts w:ascii="Aptos" w:hAnsi="Aptos" w:cs="Aptos"/>
        </w:rPr>
        <w:t>ä</w:t>
      </w:r>
      <w:r w:rsidRPr="00966400">
        <w:t>sse, Frost, Sturm) rutschig oder unpassierbar sein.</w:t>
      </w:r>
    </w:p>
    <w:p w14:paraId="10F35990" w14:textId="13513EBE" w:rsidR="00966400" w:rsidRPr="00966400" w:rsidRDefault="00E26AC6" w:rsidP="006406BF">
      <w:pPr>
        <w:numPr>
          <w:ilvl w:val="0"/>
          <w:numId w:val="6"/>
        </w:numPr>
        <w:jc w:val="both"/>
      </w:pPr>
      <w:r>
        <w:t>B</w:t>
      </w:r>
      <w:r w:rsidRPr="00E26AC6">
        <w:t xml:space="preserve">eim Betreten </w:t>
      </w:r>
      <w:r>
        <w:t xml:space="preserve">können </w:t>
      </w:r>
      <w:r w:rsidRPr="00E26AC6">
        <w:t>naturtypische Gefahren auftreten können (Bodenglätte, Bodenunebenheiten, Wurzeln, Sträucher, bodenranke Pflanzen, Steine, herabfallende und liegende Äste). Die Erreichbarkeit von Grabstellen kann daher für mobilitätseingeschränkte Personen bzw. je nach Witterung eingeschränkt sein.</w:t>
      </w:r>
    </w:p>
    <w:p w14:paraId="15873236" w14:textId="77777777" w:rsidR="002D54F1" w:rsidRDefault="002D54F1" w:rsidP="002D54F1">
      <w:pPr>
        <w:numPr>
          <w:ilvl w:val="0"/>
          <w:numId w:val="6"/>
        </w:numPr>
        <w:jc w:val="both"/>
      </w:pPr>
      <w:r w:rsidRPr="00966400">
        <w:t>Bei Extremwetterlagen, forstwirtschaftlichen Maßnahmen oder anderen Gefahren kann der Zutritt temporär eingeschränkt werden.</w:t>
      </w:r>
    </w:p>
    <w:p w14:paraId="35570C47" w14:textId="5DE833BF" w:rsidR="00C02B41" w:rsidRDefault="00C02B41" w:rsidP="002D54F1">
      <w:pPr>
        <w:numPr>
          <w:ilvl w:val="0"/>
          <w:numId w:val="6"/>
        </w:numPr>
        <w:jc w:val="both"/>
      </w:pPr>
      <w:r w:rsidRPr="00C02B41">
        <w:t>In den Wintermonaten werden nur die Hauptwege geräumt.</w:t>
      </w:r>
      <w:r w:rsidR="00FE04F6">
        <w:t xml:space="preserve"> Nebenwege werden nicht geräumt.</w:t>
      </w:r>
    </w:p>
    <w:p w14:paraId="6E89CE1B" w14:textId="36D35F90" w:rsidR="00120A3C" w:rsidRPr="00966400" w:rsidRDefault="00120A3C" w:rsidP="002D54F1">
      <w:pPr>
        <w:numPr>
          <w:ilvl w:val="0"/>
          <w:numId w:val="6"/>
        </w:numPr>
        <w:jc w:val="both"/>
      </w:pPr>
      <w:r w:rsidRPr="00120A3C">
        <w:t>Die Naturbestattungsanlage wird in der Dunkelheit nicht beleuchtet. Somit ist das Betreten insbesondere bei Dunkelheit mit erhöhter Gefahr verbunden.</w:t>
      </w:r>
    </w:p>
    <w:p w14:paraId="62BFB42A" w14:textId="77777777" w:rsidR="00966400" w:rsidRPr="00966400" w:rsidRDefault="00966400" w:rsidP="00027A59">
      <w:pPr>
        <w:numPr>
          <w:ilvl w:val="0"/>
          <w:numId w:val="6"/>
        </w:numPr>
        <w:jc w:val="both"/>
      </w:pPr>
      <w:r w:rsidRPr="00966400">
        <w:t>Der Betreiber übernimmt keine Haftung für Unfälle, Verletzungen oder Schäden, sofern kein Vorsatz oder grobe Fahrlässigkeit vorliegt.</w:t>
      </w:r>
    </w:p>
    <w:p w14:paraId="119F7348" w14:textId="20B88F84" w:rsidR="00966400" w:rsidRPr="00966400" w:rsidRDefault="00966400" w:rsidP="00027A59">
      <w:pPr>
        <w:jc w:val="both"/>
        <w:rPr>
          <w:b/>
          <w:bCs/>
        </w:rPr>
      </w:pPr>
      <w:r w:rsidRPr="00966400">
        <w:rPr>
          <w:b/>
          <w:bCs/>
        </w:rPr>
        <w:t>V. Gebührenordnung</w:t>
      </w:r>
    </w:p>
    <w:p w14:paraId="0BC9B95B" w14:textId="3BA0A203" w:rsidR="00E97B2A" w:rsidRDefault="00E97B2A" w:rsidP="006406BF">
      <w:pPr>
        <w:numPr>
          <w:ilvl w:val="0"/>
          <w:numId w:val="7"/>
        </w:numPr>
        <w:jc w:val="both"/>
      </w:pPr>
      <w:r w:rsidRPr="00E97B2A">
        <w:t>Die Nutzung des Naturfriedhofs ist gebührenpflichtig.</w:t>
      </w:r>
    </w:p>
    <w:p w14:paraId="2D163EDD" w14:textId="33E8B99B" w:rsidR="00966400" w:rsidRPr="00966400" w:rsidRDefault="00E97B2A" w:rsidP="00027A59">
      <w:pPr>
        <w:numPr>
          <w:ilvl w:val="0"/>
          <w:numId w:val="7"/>
        </w:numPr>
        <w:jc w:val="both"/>
      </w:pPr>
      <w:r>
        <w:t>D</w:t>
      </w:r>
      <w:r w:rsidR="00966400" w:rsidRPr="00966400">
        <w:t>ie Gebühren für Beisetzungen</w:t>
      </w:r>
      <w:r>
        <w:t xml:space="preserve"> sowie</w:t>
      </w:r>
      <w:r w:rsidR="00966400" w:rsidRPr="00966400">
        <w:t xml:space="preserve"> </w:t>
      </w:r>
      <w:r>
        <w:t>Grabn</w:t>
      </w:r>
      <w:r w:rsidR="00966400" w:rsidRPr="00966400">
        <w:t xml:space="preserve">utzungsrechte </w:t>
      </w:r>
      <w:r>
        <w:t>samt dazugehörender Dienstleistungen</w:t>
      </w:r>
      <w:r w:rsidR="00966400" w:rsidRPr="00966400">
        <w:t xml:space="preserve"> richten sich nach der jeweils geltenden Gebührentabelle.</w:t>
      </w:r>
      <w:r>
        <w:t xml:space="preserve"> </w:t>
      </w:r>
      <w:r w:rsidR="00966400" w:rsidRPr="00966400">
        <w:t xml:space="preserve">Diese ist </w:t>
      </w:r>
      <w:r w:rsidR="00C07983">
        <w:t xml:space="preserve">beim </w:t>
      </w:r>
      <w:r w:rsidR="00EB53CF">
        <w:t>Betreiber</w:t>
      </w:r>
      <w:r w:rsidR="00966400" w:rsidRPr="00966400">
        <w:t xml:space="preserve"> einsehbar.</w:t>
      </w:r>
    </w:p>
    <w:p w14:paraId="48CD0327" w14:textId="63668CD9" w:rsidR="00966400" w:rsidRPr="00966400" w:rsidRDefault="00966400" w:rsidP="00027A59">
      <w:pPr>
        <w:jc w:val="both"/>
        <w:rPr>
          <w:b/>
          <w:bCs/>
        </w:rPr>
      </w:pPr>
      <w:r w:rsidRPr="00966400">
        <w:rPr>
          <w:b/>
          <w:bCs/>
        </w:rPr>
        <w:t>VI. Schlussbestimmungen</w:t>
      </w:r>
    </w:p>
    <w:p w14:paraId="7BFEBD8A" w14:textId="77777777" w:rsidR="00966400" w:rsidRPr="00966400" w:rsidRDefault="00966400" w:rsidP="009A72EA">
      <w:pPr>
        <w:numPr>
          <w:ilvl w:val="0"/>
          <w:numId w:val="8"/>
        </w:numPr>
        <w:jc w:val="both"/>
      </w:pPr>
      <w:r w:rsidRPr="00966400">
        <w:t>Diese Friedhofsordnung tritt mit Veröffentlichung in Kraft und gilt bis auf Widerruf.</w:t>
      </w:r>
    </w:p>
    <w:p w14:paraId="14AABC7F" w14:textId="64B57803" w:rsidR="00966400" w:rsidRDefault="00966400" w:rsidP="00027A59">
      <w:pPr>
        <w:numPr>
          <w:ilvl w:val="0"/>
          <w:numId w:val="8"/>
        </w:numPr>
        <w:jc w:val="both"/>
      </w:pPr>
      <w:r w:rsidRPr="00966400">
        <w:t>Änderungen der Friedhofsordnung werden durch Aushang und/oder Veröffentlichung auf den offiziellen Kanälen bekanntgegeben.</w:t>
      </w:r>
    </w:p>
    <w:sectPr w:rsidR="00966400" w:rsidSect="00277C7C">
      <w:pgSz w:w="11906" w:h="16838"/>
      <w:pgMar w:top="1417" w:right="1417" w:bottom="851" w:left="1417" w:header="708" w:footer="3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58A32" w14:textId="77777777" w:rsidR="00277C7C" w:rsidRDefault="00277C7C" w:rsidP="00277C7C">
      <w:pPr>
        <w:spacing w:after="0" w:line="240" w:lineRule="auto"/>
      </w:pPr>
      <w:r>
        <w:separator/>
      </w:r>
    </w:p>
  </w:endnote>
  <w:endnote w:type="continuationSeparator" w:id="0">
    <w:p w14:paraId="3532B13C" w14:textId="77777777" w:rsidR="00277C7C" w:rsidRDefault="00277C7C" w:rsidP="00277C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B3164" w14:textId="77777777" w:rsidR="00277C7C" w:rsidRDefault="00277C7C" w:rsidP="00277C7C">
      <w:pPr>
        <w:spacing w:after="0" w:line="240" w:lineRule="auto"/>
      </w:pPr>
      <w:r>
        <w:separator/>
      </w:r>
    </w:p>
  </w:footnote>
  <w:footnote w:type="continuationSeparator" w:id="0">
    <w:p w14:paraId="17EA70FE" w14:textId="77777777" w:rsidR="00277C7C" w:rsidRDefault="00277C7C" w:rsidP="00277C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A3ADE"/>
    <w:multiLevelType w:val="multilevel"/>
    <w:tmpl w:val="2910C86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1ADC1DDE"/>
    <w:multiLevelType w:val="multilevel"/>
    <w:tmpl w:val="9E1E64D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1FED0C67"/>
    <w:multiLevelType w:val="multilevel"/>
    <w:tmpl w:val="F13C1D5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E855F5"/>
    <w:multiLevelType w:val="hybridMultilevel"/>
    <w:tmpl w:val="9A28604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2E314D0F"/>
    <w:multiLevelType w:val="multilevel"/>
    <w:tmpl w:val="C1F8E09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3C315CCF"/>
    <w:multiLevelType w:val="multilevel"/>
    <w:tmpl w:val="50D453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E7A09B4"/>
    <w:multiLevelType w:val="multilevel"/>
    <w:tmpl w:val="049C5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FBD65B0"/>
    <w:multiLevelType w:val="multilevel"/>
    <w:tmpl w:val="C3CE306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52C76CF9"/>
    <w:multiLevelType w:val="multilevel"/>
    <w:tmpl w:val="75A0DC3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53FB1180"/>
    <w:multiLevelType w:val="hybridMultilevel"/>
    <w:tmpl w:val="D38E75F0"/>
    <w:lvl w:ilvl="0" w:tplc="0C070001">
      <w:start w:val="1"/>
      <w:numFmt w:val="bullet"/>
      <w:lvlText w:val=""/>
      <w:lvlJc w:val="left"/>
      <w:pPr>
        <w:ind w:left="1002" w:hanging="360"/>
      </w:pPr>
      <w:rPr>
        <w:rFonts w:ascii="Symbol" w:hAnsi="Symbol" w:hint="default"/>
      </w:rPr>
    </w:lvl>
    <w:lvl w:ilvl="1" w:tplc="0C070003">
      <w:start w:val="1"/>
      <w:numFmt w:val="bullet"/>
      <w:lvlText w:val="o"/>
      <w:lvlJc w:val="left"/>
      <w:pPr>
        <w:ind w:left="1722" w:hanging="360"/>
      </w:pPr>
      <w:rPr>
        <w:rFonts w:ascii="Courier New" w:hAnsi="Courier New" w:cs="Courier New" w:hint="default"/>
      </w:rPr>
    </w:lvl>
    <w:lvl w:ilvl="2" w:tplc="0C070005">
      <w:start w:val="1"/>
      <w:numFmt w:val="bullet"/>
      <w:lvlText w:val=""/>
      <w:lvlJc w:val="left"/>
      <w:pPr>
        <w:ind w:left="2442" w:hanging="360"/>
      </w:pPr>
      <w:rPr>
        <w:rFonts w:ascii="Wingdings" w:hAnsi="Wingdings" w:hint="default"/>
      </w:rPr>
    </w:lvl>
    <w:lvl w:ilvl="3" w:tplc="0C070001">
      <w:start w:val="1"/>
      <w:numFmt w:val="bullet"/>
      <w:lvlText w:val=""/>
      <w:lvlJc w:val="left"/>
      <w:pPr>
        <w:ind w:left="3162" w:hanging="360"/>
      </w:pPr>
      <w:rPr>
        <w:rFonts w:ascii="Symbol" w:hAnsi="Symbol" w:hint="default"/>
      </w:rPr>
    </w:lvl>
    <w:lvl w:ilvl="4" w:tplc="0C070003">
      <w:start w:val="1"/>
      <w:numFmt w:val="bullet"/>
      <w:lvlText w:val="o"/>
      <w:lvlJc w:val="left"/>
      <w:pPr>
        <w:ind w:left="3882" w:hanging="360"/>
      </w:pPr>
      <w:rPr>
        <w:rFonts w:ascii="Courier New" w:hAnsi="Courier New" w:cs="Courier New" w:hint="default"/>
      </w:rPr>
    </w:lvl>
    <w:lvl w:ilvl="5" w:tplc="0C070005">
      <w:start w:val="1"/>
      <w:numFmt w:val="bullet"/>
      <w:lvlText w:val=""/>
      <w:lvlJc w:val="left"/>
      <w:pPr>
        <w:ind w:left="4602" w:hanging="360"/>
      </w:pPr>
      <w:rPr>
        <w:rFonts w:ascii="Wingdings" w:hAnsi="Wingdings" w:hint="default"/>
      </w:rPr>
    </w:lvl>
    <w:lvl w:ilvl="6" w:tplc="0C070001">
      <w:start w:val="1"/>
      <w:numFmt w:val="bullet"/>
      <w:lvlText w:val=""/>
      <w:lvlJc w:val="left"/>
      <w:pPr>
        <w:ind w:left="5322" w:hanging="360"/>
      </w:pPr>
      <w:rPr>
        <w:rFonts w:ascii="Symbol" w:hAnsi="Symbol" w:hint="default"/>
      </w:rPr>
    </w:lvl>
    <w:lvl w:ilvl="7" w:tplc="0C070003">
      <w:start w:val="1"/>
      <w:numFmt w:val="bullet"/>
      <w:lvlText w:val="o"/>
      <w:lvlJc w:val="left"/>
      <w:pPr>
        <w:ind w:left="6042" w:hanging="360"/>
      </w:pPr>
      <w:rPr>
        <w:rFonts w:ascii="Courier New" w:hAnsi="Courier New" w:cs="Courier New" w:hint="default"/>
      </w:rPr>
    </w:lvl>
    <w:lvl w:ilvl="8" w:tplc="0C070005">
      <w:start w:val="1"/>
      <w:numFmt w:val="bullet"/>
      <w:lvlText w:val=""/>
      <w:lvlJc w:val="left"/>
      <w:pPr>
        <w:ind w:left="6762" w:hanging="360"/>
      </w:pPr>
      <w:rPr>
        <w:rFonts w:ascii="Wingdings" w:hAnsi="Wingdings" w:hint="default"/>
      </w:rPr>
    </w:lvl>
  </w:abstractNum>
  <w:abstractNum w:abstractNumId="10" w15:restartNumberingAfterBreak="0">
    <w:nsid w:val="5D7A5B6E"/>
    <w:multiLevelType w:val="multilevel"/>
    <w:tmpl w:val="C1F8E09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78C73804"/>
    <w:multiLevelType w:val="multilevel"/>
    <w:tmpl w:val="038EAB1E"/>
    <w:lvl w:ilvl="0">
      <w:start w:val="1"/>
      <w:numFmt w:val="decimal"/>
      <w:lvlText w:val="§ %1"/>
      <w:lvlJc w:val="center"/>
      <w:pPr>
        <w:tabs>
          <w:tab w:val="num" w:pos="454"/>
        </w:tabs>
        <w:ind w:left="454" w:hanging="454"/>
      </w:pPr>
      <w:rPr>
        <w:rFonts w:ascii="Book Antiqua" w:hAnsi="Book Antiqua" w:hint="default"/>
        <w:b/>
        <w:bCs/>
        <w:i w:val="0"/>
        <w:iCs w:val="0"/>
        <w:caps/>
        <w:strike w:val="0"/>
        <w:dstrike w:val="0"/>
        <w:sz w:val="24"/>
        <w:szCs w:val="22"/>
        <w:u w:val="none"/>
        <w:effect w:val="none"/>
      </w:rPr>
    </w:lvl>
    <w:lvl w:ilvl="1">
      <w:start w:val="1"/>
      <w:numFmt w:val="decimal"/>
      <w:lvlText w:val="%1.%2."/>
      <w:lvlJc w:val="left"/>
      <w:pPr>
        <w:tabs>
          <w:tab w:val="num" w:pos="567"/>
        </w:tabs>
        <w:ind w:left="567" w:hanging="567"/>
      </w:pPr>
      <w:rPr>
        <w:rFonts w:ascii="Book Antiqua" w:hAnsi="Book Antiqua" w:hint="default"/>
        <w:b w:val="0"/>
        <w:bCs/>
        <w:i w:val="0"/>
        <w:caps w:val="0"/>
        <w:strike w:val="0"/>
        <w:dstrike w:val="0"/>
        <w:outline w:val="0"/>
        <w:shadow w:val="0"/>
        <w:emboss w:val="0"/>
        <w:imprint w:val="0"/>
        <w:vanish w:val="0"/>
        <w:webHidden w:val="0"/>
        <w:color w:val="auto"/>
        <w:spacing w:val="0"/>
        <w:kern w:val="0"/>
        <w:sz w:val="24"/>
        <w:szCs w:val="24"/>
        <w:u w:val="none"/>
        <w:effect w:val="none"/>
        <w:vertAlign w:val="baseline"/>
        <w:specVanish w:val="0"/>
      </w:rPr>
    </w:lvl>
    <w:lvl w:ilvl="2">
      <w:start w:val="1"/>
      <w:numFmt w:val="decimal"/>
      <w:lvlText w:val="%1.%2.%3."/>
      <w:lvlJc w:val="left"/>
      <w:pPr>
        <w:tabs>
          <w:tab w:val="num" w:pos="709"/>
        </w:tabs>
        <w:ind w:left="709" w:hanging="709"/>
      </w:pPr>
      <w:rPr>
        <w:strike w:val="0"/>
        <w:dstrike w:val="0"/>
        <w:u w:val="none"/>
        <w:effect w:val="none"/>
      </w:rPr>
    </w:lvl>
    <w:lvl w:ilvl="3">
      <w:numFmt w:val="none"/>
      <w:lvlText w:val=""/>
      <w:lvlJc w:val="left"/>
      <w:pPr>
        <w:tabs>
          <w:tab w:val="num" w:pos="1069"/>
        </w:tabs>
        <w:ind w:left="709" w:firstLine="0"/>
      </w:pPr>
    </w:lvl>
    <w:lvl w:ilvl="4">
      <w:start w:val="1"/>
      <w:numFmt w:val="bullet"/>
      <w:lvlText w:val=""/>
      <w:lvlJc w:val="left"/>
      <w:pPr>
        <w:tabs>
          <w:tab w:val="num" w:pos="1490"/>
        </w:tabs>
        <w:ind w:left="1130" w:firstLine="0"/>
      </w:pPr>
      <w:rPr>
        <w:rFonts w:ascii="Wingdings" w:hAnsi="Wingdings" w:cs="Times New Roman" w:hint="default"/>
      </w:rPr>
    </w:lvl>
    <w:lvl w:ilvl="5">
      <w:start w:val="1"/>
      <w:numFmt w:val="lowerRoman"/>
      <w:lvlRestart w:val="1"/>
      <w:lvlText w:val="(%6.)"/>
      <w:lvlJc w:val="left"/>
      <w:pPr>
        <w:tabs>
          <w:tab w:val="num" w:pos="1134"/>
        </w:tabs>
        <w:ind w:left="1134" w:hanging="425"/>
      </w:pPr>
    </w:lvl>
    <w:lvl w:ilvl="6">
      <w:start w:val="1"/>
      <w:numFmt w:val="decimal"/>
      <w:lvlText w:val="%7.)"/>
      <w:lvlJc w:val="left"/>
      <w:pPr>
        <w:tabs>
          <w:tab w:val="num" w:pos="1130"/>
        </w:tabs>
        <w:ind w:left="1130" w:hanging="709"/>
      </w:pPr>
    </w:lvl>
    <w:lvl w:ilvl="7">
      <w:start w:val="1"/>
      <w:numFmt w:val="decimal"/>
      <w:lvlText w:val="%8.)"/>
      <w:lvlJc w:val="left"/>
      <w:pPr>
        <w:tabs>
          <w:tab w:val="num" w:pos="1130"/>
        </w:tabs>
        <w:ind w:left="1130" w:hanging="709"/>
      </w:pPr>
    </w:lvl>
    <w:lvl w:ilvl="8">
      <w:start w:val="1"/>
      <w:numFmt w:val="decimal"/>
      <w:lvlText w:val="%9.)"/>
      <w:lvlJc w:val="left"/>
      <w:pPr>
        <w:tabs>
          <w:tab w:val="num" w:pos="1130"/>
        </w:tabs>
        <w:ind w:left="1130" w:hanging="709"/>
      </w:pPr>
    </w:lvl>
  </w:abstractNum>
  <w:num w:numId="1" w16cid:durableId="633216107">
    <w:abstractNumId w:val="5"/>
  </w:num>
  <w:num w:numId="2" w16cid:durableId="571038531">
    <w:abstractNumId w:val="6"/>
  </w:num>
  <w:num w:numId="3" w16cid:durableId="459104797">
    <w:abstractNumId w:val="8"/>
  </w:num>
  <w:num w:numId="4" w16cid:durableId="1160854274">
    <w:abstractNumId w:val="10"/>
  </w:num>
  <w:num w:numId="5" w16cid:durableId="1802074017">
    <w:abstractNumId w:val="2"/>
  </w:num>
  <w:num w:numId="6" w16cid:durableId="1217815996">
    <w:abstractNumId w:val="7"/>
  </w:num>
  <w:num w:numId="7" w16cid:durableId="1975602344">
    <w:abstractNumId w:val="1"/>
  </w:num>
  <w:num w:numId="8" w16cid:durableId="204604470">
    <w:abstractNumId w:val="0"/>
  </w:num>
  <w:num w:numId="9" w16cid:durableId="1692875452">
    <w:abstractNumId w:val="9"/>
  </w:num>
  <w:num w:numId="10" w16cid:durableId="1667853818">
    <w:abstractNumId w:val="9"/>
  </w:num>
  <w:num w:numId="11" w16cid:durableId="204373798">
    <w:abstractNumId w:val="3"/>
  </w:num>
  <w:num w:numId="12" w16cid:durableId="733351999">
    <w:abstractNumId w:val="11"/>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13" w16cid:durableId="856596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400"/>
    <w:rsid w:val="00027A59"/>
    <w:rsid w:val="00040179"/>
    <w:rsid w:val="00075251"/>
    <w:rsid w:val="000757FD"/>
    <w:rsid w:val="000A598B"/>
    <w:rsid w:val="000B29D8"/>
    <w:rsid w:val="00120A3C"/>
    <w:rsid w:val="00122AF1"/>
    <w:rsid w:val="00125113"/>
    <w:rsid w:val="0015563A"/>
    <w:rsid w:val="00273D94"/>
    <w:rsid w:val="00277C7C"/>
    <w:rsid w:val="002932FA"/>
    <w:rsid w:val="002A35BD"/>
    <w:rsid w:val="002D54F1"/>
    <w:rsid w:val="002E2B3A"/>
    <w:rsid w:val="002F5326"/>
    <w:rsid w:val="003138C5"/>
    <w:rsid w:val="0034073C"/>
    <w:rsid w:val="00344789"/>
    <w:rsid w:val="003A1C4B"/>
    <w:rsid w:val="003B6C74"/>
    <w:rsid w:val="003E131E"/>
    <w:rsid w:val="003F5EA0"/>
    <w:rsid w:val="0042332A"/>
    <w:rsid w:val="0044631D"/>
    <w:rsid w:val="004A5938"/>
    <w:rsid w:val="004E0EF7"/>
    <w:rsid w:val="004F0440"/>
    <w:rsid w:val="00564CB6"/>
    <w:rsid w:val="00593745"/>
    <w:rsid w:val="005E502B"/>
    <w:rsid w:val="005E7B72"/>
    <w:rsid w:val="00602E67"/>
    <w:rsid w:val="00633B12"/>
    <w:rsid w:val="006406BF"/>
    <w:rsid w:val="0066686B"/>
    <w:rsid w:val="006675A0"/>
    <w:rsid w:val="006C72EA"/>
    <w:rsid w:val="006D6E51"/>
    <w:rsid w:val="007473C5"/>
    <w:rsid w:val="007562F5"/>
    <w:rsid w:val="0076077C"/>
    <w:rsid w:val="00793212"/>
    <w:rsid w:val="007C4466"/>
    <w:rsid w:val="00841654"/>
    <w:rsid w:val="00865702"/>
    <w:rsid w:val="00872CCD"/>
    <w:rsid w:val="00876CB0"/>
    <w:rsid w:val="008C568C"/>
    <w:rsid w:val="008D7242"/>
    <w:rsid w:val="008E61BF"/>
    <w:rsid w:val="009121F6"/>
    <w:rsid w:val="00915193"/>
    <w:rsid w:val="00924D39"/>
    <w:rsid w:val="00936141"/>
    <w:rsid w:val="00937885"/>
    <w:rsid w:val="0094793A"/>
    <w:rsid w:val="009559D3"/>
    <w:rsid w:val="00966400"/>
    <w:rsid w:val="009734E6"/>
    <w:rsid w:val="00987187"/>
    <w:rsid w:val="009A72EA"/>
    <w:rsid w:val="009C4509"/>
    <w:rsid w:val="00A34C97"/>
    <w:rsid w:val="00A46993"/>
    <w:rsid w:val="00A70153"/>
    <w:rsid w:val="00AE6B8A"/>
    <w:rsid w:val="00B24671"/>
    <w:rsid w:val="00B54672"/>
    <w:rsid w:val="00C02B41"/>
    <w:rsid w:val="00C07983"/>
    <w:rsid w:val="00C2443A"/>
    <w:rsid w:val="00C27D20"/>
    <w:rsid w:val="00C8560E"/>
    <w:rsid w:val="00CE0C85"/>
    <w:rsid w:val="00D05F2E"/>
    <w:rsid w:val="00D175C3"/>
    <w:rsid w:val="00D601E4"/>
    <w:rsid w:val="00D65CED"/>
    <w:rsid w:val="00D9115B"/>
    <w:rsid w:val="00D93A07"/>
    <w:rsid w:val="00E07FD2"/>
    <w:rsid w:val="00E26AC6"/>
    <w:rsid w:val="00E305A5"/>
    <w:rsid w:val="00E5280A"/>
    <w:rsid w:val="00E67409"/>
    <w:rsid w:val="00E97B2A"/>
    <w:rsid w:val="00EA2CA4"/>
    <w:rsid w:val="00EB53CF"/>
    <w:rsid w:val="00ED2A5C"/>
    <w:rsid w:val="00F12C7F"/>
    <w:rsid w:val="00F25B96"/>
    <w:rsid w:val="00F4038A"/>
    <w:rsid w:val="00FA046C"/>
    <w:rsid w:val="00FB13E5"/>
    <w:rsid w:val="00FC0441"/>
    <w:rsid w:val="00FD1A75"/>
    <w:rsid w:val="00FE04F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46AF82"/>
  <w15:chartTrackingRefBased/>
  <w15:docId w15:val="{9D96FC6B-B58C-4AFA-93A8-9BF7228A5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664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664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6640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6640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6640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6640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6640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6640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6640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6640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6640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6640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6640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6640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6640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6640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6640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66400"/>
    <w:rPr>
      <w:rFonts w:eastAsiaTheme="majorEastAsia" w:cstheme="majorBidi"/>
      <w:color w:val="272727" w:themeColor="text1" w:themeTint="D8"/>
    </w:rPr>
  </w:style>
  <w:style w:type="paragraph" w:styleId="Titel">
    <w:name w:val="Title"/>
    <w:basedOn w:val="Standard"/>
    <w:next w:val="Standard"/>
    <w:link w:val="TitelZchn"/>
    <w:uiPriority w:val="10"/>
    <w:qFormat/>
    <w:rsid w:val="009664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6640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6640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6640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6640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66400"/>
    <w:rPr>
      <w:i/>
      <w:iCs/>
      <w:color w:val="404040" w:themeColor="text1" w:themeTint="BF"/>
    </w:rPr>
  </w:style>
  <w:style w:type="paragraph" w:styleId="Listenabsatz">
    <w:name w:val="List Paragraph"/>
    <w:basedOn w:val="Standard"/>
    <w:uiPriority w:val="34"/>
    <w:qFormat/>
    <w:rsid w:val="00966400"/>
    <w:pPr>
      <w:ind w:left="720"/>
      <w:contextualSpacing/>
    </w:pPr>
  </w:style>
  <w:style w:type="character" w:styleId="IntensiveHervorhebung">
    <w:name w:val="Intense Emphasis"/>
    <w:basedOn w:val="Absatz-Standardschriftart"/>
    <w:uiPriority w:val="21"/>
    <w:qFormat/>
    <w:rsid w:val="00966400"/>
    <w:rPr>
      <w:i/>
      <w:iCs/>
      <w:color w:val="0F4761" w:themeColor="accent1" w:themeShade="BF"/>
    </w:rPr>
  </w:style>
  <w:style w:type="paragraph" w:styleId="IntensivesZitat">
    <w:name w:val="Intense Quote"/>
    <w:basedOn w:val="Standard"/>
    <w:next w:val="Standard"/>
    <w:link w:val="IntensivesZitatZchn"/>
    <w:uiPriority w:val="30"/>
    <w:qFormat/>
    <w:rsid w:val="009664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66400"/>
    <w:rPr>
      <w:i/>
      <w:iCs/>
      <w:color w:val="0F4761" w:themeColor="accent1" w:themeShade="BF"/>
    </w:rPr>
  </w:style>
  <w:style w:type="character" w:styleId="IntensiverVerweis">
    <w:name w:val="Intense Reference"/>
    <w:basedOn w:val="Absatz-Standardschriftart"/>
    <w:uiPriority w:val="32"/>
    <w:qFormat/>
    <w:rsid w:val="00966400"/>
    <w:rPr>
      <w:b/>
      <w:bCs/>
      <w:smallCaps/>
      <w:color w:val="0F4761" w:themeColor="accent1" w:themeShade="BF"/>
      <w:spacing w:val="5"/>
    </w:rPr>
  </w:style>
  <w:style w:type="paragraph" w:styleId="berarbeitung">
    <w:name w:val="Revision"/>
    <w:hidden/>
    <w:uiPriority w:val="99"/>
    <w:semiHidden/>
    <w:rsid w:val="00AE6B8A"/>
    <w:pPr>
      <w:spacing w:after="0" w:line="240" w:lineRule="auto"/>
    </w:pPr>
  </w:style>
  <w:style w:type="paragraph" w:styleId="Kopfzeile">
    <w:name w:val="header"/>
    <w:basedOn w:val="Standard"/>
    <w:link w:val="KopfzeileZchn"/>
    <w:uiPriority w:val="99"/>
    <w:unhideWhenUsed/>
    <w:rsid w:val="00277C7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77C7C"/>
  </w:style>
  <w:style w:type="paragraph" w:styleId="Fuzeile">
    <w:name w:val="footer"/>
    <w:basedOn w:val="Standard"/>
    <w:link w:val="FuzeileZchn"/>
    <w:uiPriority w:val="99"/>
    <w:unhideWhenUsed/>
    <w:rsid w:val="00277C7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77C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16822">
      <w:bodyDiv w:val="1"/>
      <w:marLeft w:val="0"/>
      <w:marRight w:val="0"/>
      <w:marTop w:val="0"/>
      <w:marBottom w:val="0"/>
      <w:divBdr>
        <w:top w:val="none" w:sz="0" w:space="0" w:color="auto"/>
        <w:left w:val="none" w:sz="0" w:space="0" w:color="auto"/>
        <w:bottom w:val="none" w:sz="0" w:space="0" w:color="auto"/>
        <w:right w:val="none" w:sz="0" w:space="0" w:color="auto"/>
      </w:divBdr>
    </w:div>
    <w:div w:id="172839696">
      <w:bodyDiv w:val="1"/>
      <w:marLeft w:val="0"/>
      <w:marRight w:val="0"/>
      <w:marTop w:val="0"/>
      <w:marBottom w:val="0"/>
      <w:divBdr>
        <w:top w:val="none" w:sz="0" w:space="0" w:color="auto"/>
        <w:left w:val="none" w:sz="0" w:space="0" w:color="auto"/>
        <w:bottom w:val="none" w:sz="0" w:space="0" w:color="auto"/>
        <w:right w:val="none" w:sz="0" w:space="0" w:color="auto"/>
      </w:divBdr>
      <w:divsChild>
        <w:div w:id="610282257">
          <w:blockQuote w:val="1"/>
          <w:marLeft w:val="720"/>
          <w:marRight w:val="720"/>
          <w:marTop w:val="100"/>
          <w:marBottom w:val="100"/>
          <w:divBdr>
            <w:top w:val="none" w:sz="0" w:space="0" w:color="auto"/>
            <w:left w:val="none" w:sz="0" w:space="0" w:color="auto"/>
            <w:bottom w:val="none" w:sz="0" w:space="0" w:color="auto"/>
            <w:right w:val="none" w:sz="0" w:space="0" w:color="auto"/>
          </w:divBdr>
        </w:div>
        <w:div w:id="8036217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0471386">
      <w:bodyDiv w:val="1"/>
      <w:marLeft w:val="0"/>
      <w:marRight w:val="0"/>
      <w:marTop w:val="0"/>
      <w:marBottom w:val="0"/>
      <w:divBdr>
        <w:top w:val="none" w:sz="0" w:space="0" w:color="auto"/>
        <w:left w:val="none" w:sz="0" w:space="0" w:color="auto"/>
        <w:bottom w:val="none" w:sz="0" w:space="0" w:color="auto"/>
        <w:right w:val="none" w:sz="0" w:space="0" w:color="auto"/>
      </w:divBdr>
    </w:div>
    <w:div w:id="640693195">
      <w:bodyDiv w:val="1"/>
      <w:marLeft w:val="0"/>
      <w:marRight w:val="0"/>
      <w:marTop w:val="0"/>
      <w:marBottom w:val="0"/>
      <w:divBdr>
        <w:top w:val="none" w:sz="0" w:space="0" w:color="auto"/>
        <w:left w:val="none" w:sz="0" w:space="0" w:color="auto"/>
        <w:bottom w:val="none" w:sz="0" w:space="0" w:color="auto"/>
        <w:right w:val="none" w:sz="0" w:space="0" w:color="auto"/>
      </w:divBdr>
    </w:div>
    <w:div w:id="723876036">
      <w:bodyDiv w:val="1"/>
      <w:marLeft w:val="0"/>
      <w:marRight w:val="0"/>
      <w:marTop w:val="0"/>
      <w:marBottom w:val="0"/>
      <w:divBdr>
        <w:top w:val="none" w:sz="0" w:space="0" w:color="auto"/>
        <w:left w:val="none" w:sz="0" w:space="0" w:color="auto"/>
        <w:bottom w:val="none" w:sz="0" w:space="0" w:color="auto"/>
        <w:right w:val="none" w:sz="0" w:space="0" w:color="auto"/>
      </w:divBdr>
    </w:div>
    <w:div w:id="818229191">
      <w:bodyDiv w:val="1"/>
      <w:marLeft w:val="0"/>
      <w:marRight w:val="0"/>
      <w:marTop w:val="0"/>
      <w:marBottom w:val="0"/>
      <w:divBdr>
        <w:top w:val="none" w:sz="0" w:space="0" w:color="auto"/>
        <w:left w:val="none" w:sz="0" w:space="0" w:color="auto"/>
        <w:bottom w:val="none" w:sz="0" w:space="0" w:color="auto"/>
        <w:right w:val="none" w:sz="0" w:space="0" w:color="auto"/>
      </w:divBdr>
    </w:div>
    <w:div w:id="1071267835">
      <w:bodyDiv w:val="1"/>
      <w:marLeft w:val="0"/>
      <w:marRight w:val="0"/>
      <w:marTop w:val="0"/>
      <w:marBottom w:val="0"/>
      <w:divBdr>
        <w:top w:val="none" w:sz="0" w:space="0" w:color="auto"/>
        <w:left w:val="none" w:sz="0" w:space="0" w:color="auto"/>
        <w:bottom w:val="none" w:sz="0" w:space="0" w:color="auto"/>
        <w:right w:val="none" w:sz="0" w:space="0" w:color="auto"/>
      </w:divBdr>
    </w:div>
    <w:div w:id="1103233142">
      <w:bodyDiv w:val="1"/>
      <w:marLeft w:val="0"/>
      <w:marRight w:val="0"/>
      <w:marTop w:val="0"/>
      <w:marBottom w:val="0"/>
      <w:divBdr>
        <w:top w:val="none" w:sz="0" w:space="0" w:color="auto"/>
        <w:left w:val="none" w:sz="0" w:space="0" w:color="auto"/>
        <w:bottom w:val="none" w:sz="0" w:space="0" w:color="auto"/>
        <w:right w:val="none" w:sz="0" w:space="0" w:color="auto"/>
      </w:divBdr>
    </w:div>
    <w:div w:id="1201166385">
      <w:bodyDiv w:val="1"/>
      <w:marLeft w:val="0"/>
      <w:marRight w:val="0"/>
      <w:marTop w:val="0"/>
      <w:marBottom w:val="0"/>
      <w:divBdr>
        <w:top w:val="none" w:sz="0" w:space="0" w:color="auto"/>
        <w:left w:val="none" w:sz="0" w:space="0" w:color="auto"/>
        <w:bottom w:val="none" w:sz="0" w:space="0" w:color="auto"/>
        <w:right w:val="none" w:sz="0" w:space="0" w:color="auto"/>
      </w:divBdr>
    </w:div>
    <w:div w:id="1527981024">
      <w:bodyDiv w:val="1"/>
      <w:marLeft w:val="0"/>
      <w:marRight w:val="0"/>
      <w:marTop w:val="0"/>
      <w:marBottom w:val="0"/>
      <w:divBdr>
        <w:top w:val="none" w:sz="0" w:space="0" w:color="auto"/>
        <w:left w:val="none" w:sz="0" w:space="0" w:color="auto"/>
        <w:bottom w:val="none" w:sz="0" w:space="0" w:color="auto"/>
        <w:right w:val="none" w:sz="0" w:space="0" w:color="auto"/>
      </w:divBdr>
    </w:div>
    <w:div w:id="1648433316">
      <w:bodyDiv w:val="1"/>
      <w:marLeft w:val="0"/>
      <w:marRight w:val="0"/>
      <w:marTop w:val="0"/>
      <w:marBottom w:val="0"/>
      <w:divBdr>
        <w:top w:val="none" w:sz="0" w:space="0" w:color="auto"/>
        <w:left w:val="none" w:sz="0" w:space="0" w:color="auto"/>
        <w:bottom w:val="none" w:sz="0" w:space="0" w:color="auto"/>
        <w:right w:val="none" w:sz="0" w:space="0" w:color="auto"/>
      </w:divBdr>
    </w:div>
    <w:div w:id="1826779645">
      <w:bodyDiv w:val="1"/>
      <w:marLeft w:val="0"/>
      <w:marRight w:val="0"/>
      <w:marTop w:val="0"/>
      <w:marBottom w:val="0"/>
      <w:divBdr>
        <w:top w:val="none" w:sz="0" w:space="0" w:color="auto"/>
        <w:left w:val="none" w:sz="0" w:space="0" w:color="auto"/>
        <w:bottom w:val="none" w:sz="0" w:space="0" w:color="auto"/>
        <w:right w:val="none" w:sz="0" w:space="0" w:color="auto"/>
      </w:divBdr>
    </w:div>
    <w:div w:id="1849754108">
      <w:bodyDiv w:val="1"/>
      <w:marLeft w:val="0"/>
      <w:marRight w:val="0"/>
      <w:marTop w:val="0"/>
      <w:marBottom w:val="0"/>
      <w:divBdr>
        <w:top w:val="none" w:sz="0" w:space="0" w:color="auto"/>
        <w:left w:val="none" w:sz="0" w:space="0" w:color="auto"/>
        <w:bottom w:val="none" w:sz="0" w:space="0" w:color="auto"/>
        <w:right w:val="none" w:sz="0" w:space="0" w:color="auto"/>
      </w:divBdr>
    </w:div>
    <w:div w:id="1886214998">
      <w:bodyDiv w:val="1"/>
      <w:marLeft w:val="0"/>
      <w:marRight w:val="0"/>
      <w:marTop w:val="0"/>
      <w:marBottom w:val="0"/>
      <w:divBdr>
        <w:top w:val="none" w:sz="0" w:space="0" w:color="auto"/>
        <w:left w:val="none" w:sz="0" w:space="0" w:color="auto"/>
        <w:bottom w:val="none" w:sz="0" w:space="0" w:color="auto"/>
        <w:right w:val="none" w:sz="0" w:space="0" w:color="auto"/>
      </w:divBdr>
    </w:div>
    <w:div w:id="1934319142">
      <w:bodyDiv w:val="1"/>
      <w:marLeft w:val="0"/>
      <w:marRight w:val="0"/>
      <w:marTop w:val="0"/>
      <w:marBottom w:val="0"/>
      <w:divBdr>
        <w:top w:val="none" w:sz="0" w:space="0" w:color="auto"/>
        <w:left w:val="none" w:sz="0" w:space="0" w:color="auto"/>
        <w:bottom w:val="none" w:sz="0" w:space="0" w:color="auto"/>
        <w:right w:val="none" w:sz="0" w:space="0" w:color="auto"/>
      </w:divBdr>
    </w:div>
    <w:div w:id="1957326273">
      <w:bodyDiv w:val="1"/>
      <w:marLeft w:val="0"/>
      <w:marRight w:val="0"/>
      <w:marTop w:val="0"/>
      <w:marBottom w:val="0"/>
      <w:divBdr>
        <w:top w:val="none" w:sz="0" w:space="0" w:color="auto"/>
        <w:left w:val="none" w:sz="0" w:space="0" w:color="auto"/>
        <w:bottom w:val="none" w:sz="0" w:space="0" w:color="auto"/>
        <w:right w:val="none" w:sz="0" w:space="0" w:color="auto"/>
      </w:divBdr>
    </w:div>
    <w:div w:id="1966084883">
      <w:bodyDiv w:val="1"/>
      <w:marLeft w:val="0"/>
      <w:marRight w:val="0"/>
      <w:marTop w:val="0"/>
      <w:marBottom w:val="0"/>
      <w:divBdr>
        <w:top w:val="none" w:sz="0" w:space="0" w:color="auto"/>
        <w:left w:val="none" w:sz="0" w:space="0" w:color="auto"/>
        <w:bottom w:val="none" w:sz="0" w:space="0" w:color="auto"/>
        <w:right w:val="none" w:sz="0" w:space="0" w:color="auto"/>
      </w:divBdr>
    </w:div>
    <w:div w:id="2041515667">
      <w:bodyDiv w:val="1"/>
      <w:marLeft w:val="0"/>
      <w:marRight w:val="0"/>
      <w:marTop w:val="0"/>
      <w:marBottom w:val="0"/>
      <w:divBdr>
        <w:top w:val="none" w:sz="0" w:space="0" w:color="auto"/>
        <w:left w:val="none" w:sz="0" w:space="0" w:color="auto"/>
        <w:bottom w:val="none" w:sz="0" w:space="0" w:color="auto"/>
        <w:right w:val="none" w:sz="0" w:space="0" w:color="auto"/>
      </w:divBdr>
      <w:divsChild>
        <w:div w:id="1937984277">
          <w:blockQuote w:val="1"/>
          <w:marLeft w:val="720"/>
          <w:marRight w:val="720"/>
          <w:marTop w:val="100"/>
          <w:marBottom w:val="100"/>
          <w:divBdr>
            <w:top w:val="none" w:sz="0" w:space="0" w:color="auto"/>
            <w:left w:val="none" w:sz="0" w:space="0" w:color="auto"/>
            <w:bottom w:val="none" w:sz="0" w:space="0" w:color="auto"/>
            <w:right w:val="none" w:sz="0" w:space="0" w:color="auto"/>
          </w:divBdr>
        </w:div>
        <w:div w:id="334965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512F291671B174B949573F1ACAC59AF" ma:contentTypeVersion="19" ma:contentTypeDescription="Ein neues Dokument erstellen." ma:contentTypeScope="" ma:versionID="968e0421fa91865dcca609f345178b57">
  <xsd:schema xmlns:xsd="http://www.w3.org/2001/XMLSchema" xmlns:xs="http://www.w3.org/2001/XMLSchema" xmlns:p="http://schemas.microsoft.com/office/2006/metadata/properties" xmlns:ns2="4790d89a-646d-434c-9aeb-3befd43826cf" xmlns:ns3="e13c6bea-bd20-455c-bbde-b2ad8a980287" targetNamespace="http://schemas.microsoft.com/office/2006/metadata/properties" ma:root="true" ma:fieldsID="0307841d34304864fdd49e030bbff2bb" ns2:_="" ns3:_="">
    <xsd:import namespace="4790d89a-646d-434c-9aeb-3befd43826cf"/>
    <xsd:import namespace="e13c6bea-bd20-455c-bbde-b2ad8a98028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0d89a-646d-434c-9aeb-3befd43826cf"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74f8a4b-6f4d-46e1-89e5-2b1fa29808bf}" ma:internalName="TaxCatchAll" ma:showField="CatchAllData" ma:web="4790d89a-646d-434c-9aeb-3befd43826c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13c6bea-bd20-455c-bbde-b2ad8a98028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fa02371b-42c1-41d6-a29b-a2ef9d20b94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13c6bea-bd20-455c-bbde-b2ad8a980287">
      <Terms xmlns="http://schemas.microsoft.com/office/infopath/2007/PartnerControls"/>
    </lcf76f155ced4ddcb4097134ff3c332f>
    <TaxCatchAll xmlns="4790d89a-646d-434c-9aeb-3befd43826cf" xsi:nil="true"/>
  </documentManagement>
</p:properties>
</file>

<file path=customXml/itemProps1.xml><?xml version="1.0" encoding="utf-8"?>
<ds:datastoreItem xmlns:ds="http://schemas.openxmlformats.org/officeDocument/2006/customXml" ds:itemID="{B7A2A44B-415B-4385-BE22-93C9E12540BA}"/>
</file>

<file path=customXml/itemProps2.xml><?xml version="1.0" encoding="utf-8"?>
<ds:datastoreItem xmlns:ds="http://schemas.openxmlformats.org/officeDocument/2006/customXml" ds:itemID="{185339E9-C339-496C-8121-109AFCECFDF2}"/>
</file>

<file path=customXml/itemProps3.xml><?xml version="1.0" encoding="utf-8"?>
<ds:datastoreItem xmlns:ds="http://schemas.openxmlformats.org/officeDocument/2006/customXml" ds:itemID="{DAA3332A-48A7-4081-AD77-431527EF5E76}"/>
</file>

<file path=docProps/app.xml><?xml version="1.0" encoding="utf-8"?>
<Properties xmlns="http://schemas.openxmlformats.org/officeDocument/2006/extended-properties" xmlns:vt="http://schemas.openxmlformats.org/officeDocument/2006/docPropsVTypes">
  <Template>Normal</Template>
  <TotalTime>0</TotalTime>
  <Pages>3</Pages>
  <Words>720</Words>
  <Characters>4536</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Klemens Figlhuber</dc:creator>
  <cp:keywords/>
  <dc:description/>
  <cp:lastModifiedBy>Bubits Peter</cp:lastModifiedBy>
  <cp:revision>3</cp:revision>
  <dcterms:created xsi:type="dcterms:W3CDTF">2025-11-12T14:28:00Z</dcterms:created>
  <dcterms:modified xsi:type="dcterms:W3CDTF">2025-11-12T14:29:00Z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X-Dokumentnummer">
    <vt:lpwstr>815924</vt:lpwstr>
  </property>
  <property fmtid="{D5CDD505-2E9C-101B-9397-08002B2CF9AE}" pid="3" name="JX-Versionsnummer">
    <vt:lpwstr>0</vt:lpwstr>
  </property>
  <property fmtid="{D5CDD505-2E9C-101B-9397-08002B2CF9AE}" pid="4" name="ContentTypeId">
    <vt:lpwstr>0x0101007512F291671B174B949573F1ACAC59AF</vt:lpwstr>
  </property>
</Properties>
</file>